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45" w:rsidRPr="007B2B6E" w:rsidRDefault="00C52845" w:rsidP="007B2B6E">
      <w:pPr>
        <w:pStyle w:val="Nessunaspaziatura"/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671942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  <w:r w:rsidR="009F7B62"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4A2E25" w:rsidRPr="004A2E25" w:rsidRDefault="00910A58" w:rsidP="004A2E25">
      <w:pPr>
        <w:ind w:left="993" w:hanging="993"/>
        <w:jc w:val="both"/>
        <w:rPr>
          <w:rFonts w:ascii="Arial" w:hAnsi="Arial" w:cs="Arial"/>
          <w:b/>
        </w:rPr>
      </w:pPr>
      <w:r>
        <w:t>Allegato n. 7</w:t>
      </w:r>
      <w:r w:rsidR="00671942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 w:rsidR="00AE48E5">
        <w:t>t</w:t>
      </w:r>
      <w:r w:rsidR="008F5FFE">
        <w:t>. 15</w:t>
      </w:r>
      <w:r w:rsidR="00AE48E5"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CD1D1C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regionale per l’edilizia abitativa (Area)</w:t>
      </w:r>
    </w:p>
    <w:p w:rsidR="008D37F8" w:rsidRDefault="008D37F8" w:rsidP="008D37F8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48E5" w:rsidRPr="00AE48E5" w:rsidTr="00AE48E5">
        <w:tc>
          <w:tcPr>
            <w:tcW w:w="9778" w:type="dxa"/>
          </w:tcPr>
          <w:p w:rsidR="00AE48E5" w:rsidRPr="00AE48E5" w:rsidRDefault="0071426A" w:rsidP="00AE48E5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Spesa per il lavoro flessibile</w:t>
            </w:r>
          </w:p>
        </w:tc>
      </w:tr>
    </w:tbl>
    <w:p w:rsidR="006B13DD" w:rsidRDefault="006B13DD" w:rsidP="00AE48E5">
      <w:pPr>
        <w:pStyle w:val="Default"/>
        <w:spacing w:before="120" w:line="360" w:lineRule="auto"/>
        <w:rPr>
          <w:color w:val="auto"/>
          <w:sz w:val="22"/>
          <w:szCs w:val="22"/>
        </w:rPr>
      </w:pPr>
    </w:p>
    <w:p w:rsidR="0071426A" w:rsidRPr="004B5046" w:rsidRDefault="0071426A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  <w:r w:rsidRPr="004B5046">
        <w:rPr>
          <w:b/>
          <w:color w:val="auto"/>
          <w:sz w:val="20"/>
          <w:szCs w:val="20"/>
        </w:rPr>
        <w:t>Tabella n. 1  - Riepilogo generale spesa per lavoro flessibile</w:t>
      </w:r>
      <w:r w:rsidR="00390636" w:rsidRPr="004B5046">
        <w:rPr>
          <w:b/>
          <w:color w:val="auto"/>
          <w:sz w:val="20"/>
          <w:szCs w:val="20"/>
        </w:rPr>
        <w:t xml:space="preserve"> (tempo determinato)</w:t>
      </w:r>
      <w:r w:rsidRPr="004B5046">
        <w:rPr>
          <w:b/>
          <w:color w:val="auto"/>
          <w:sz w:val="20"/>
          <w:szCs w:val="20"/>
        </w:rPr>
        <w:t xml:space="preserve"> </w:t>
      </w:r>
      <w:r w:rsidR="00161C1B" w:rsidRPr="004B5046">
        <w:rPr>
          <w:b/>
          <w:color w:val="auto"/>
          <w:sz w:val="20"/>
          <w:szCs w:val="20"/>
        </w:rPr>
        <w:t>esercizio 2022</w:t>
      </w:r>
    </w:p>
    <w:p w:rsidR="00A93A7F" w:rsidRPr="006363A7" w:rsidRDefault="00C9008B" w:rsidP="006363A7">
      <w:pPr>
        <w:pStyle w:val="Default"/>
        <w:spacing w:before="120" w:line="360" w:lineRule="auto"/>
        <w:jc w:val="center"/>
        <w:rPr>
          <w:b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698A7402" wp14:editId="634BFE21">
            <wp:extent cx="6120130" cy="225546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55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3A7F" w:rsidRDefault="00C9008B" w:rsidP="00AE48E5">
      <w:pPr>
        <w:pStyle w:val="Default"/>
        <w:spacing w:before="120" w:line="360" w:lineRule="auto"/>
        <w:rPr>
          <w:color w:val="auto"/>
          <w:sz w:val="12"/>
          <w:szCs w:val="12"/>
        </w:rPr>
      </w:pPr>
      <w:r>
        <w:rPr>
          <w:color w:val="auto"/>
          <w:sz w:val="12"/>
          <w:szCs w:val="12"/>
        </w:rPr>
        <w:t>* si ricorda che l’incarico qui considerato è quello contemplato dall’art. 15, comma 1, L.R. n. 22/2016;</w:t>
      </w:r>
    </w:p>
    <w:p w:rsidR="00C9008B" w:rsidRDefault="00C9008B" w:rsidP="00AE48E5">
      <w:pPr>
        <w:pStyle w:val="Default"/>
        <w:spacing w:before="120" w:line="360" w:lineRule="auto"/>
        <w:rPr>
          <w:color w:val="auto"/>
          <w:sz w:val="12"/>
          <w:szCs w:val="12"/>
        </w:rPr>
      </w:pPr>
      <w:r>
        <w:rPr>
          <w:color w:val="auto"/>
          <w:sz w:val="12"/>
          <w:szCs w:val="12"/>
        </w:rPr>
        <w:t>**</w:t>
      </w:r>
      <w:r w:rsidR="00CD1D1C">
        <w:rPr>
          <w:color w:val="auto"/>
          <w:sz w:val="12"/>
          <w:szCs w:val="12"/>
        </w:rPr>
        <w:t xml:space="preserve"> non è stato possibile ricostruire analiticamente gli impegni assunti in quanto fino all’esercizio 2024-2026 non vi era un capitolo all’interno del bilancio appositamente dedicato al tempo determinato dirigenziale</w:t>
      </w:r>
    </w:p>
    <w:p w:rsidR="00CD1D1C" w:rsidRDefault="00CD1D1C" w:rsidP="00AE48E5">
      <w:pPr>
        <w:pStyle w:val="Default"/>
        <w:spacing w:before="120" w:line="360" w:lineRule="auto"/>
        <w:rPr>
          <w:color w:val="auto"/>
          <w:sz w:val="12"/>
          <w:szCs w:val="12"/>
        </w:rPr>
      </w:pPr>
      <w:r>
        <w:rPr>
          <w:color w:val="auto"/>
          <w:sz w:val="12"/>
          <w:szCs w:val="12"/>
        </w:rPr>
        <w:t>--- si rammenta che l’Azi4nda è soggetta a Irap commerciale</w:t>
      </w:r>
    </w:p>
    <w:p w:rsidR="00C9008B" w:rsidRDefault="00C9008B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CD1D1C" w:rsidRDefault="00CD1D1C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CD1D1C" w:rsidRDefault="00CD1D1C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CD1D1C" w:rsidRDefault="00CD1D1C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CD1D1C" w:rsidRDefault="00CD1D1C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CD1D1C" w:rsidRDefault="00CD1D1C" w:rsidP="00AE48E5">
      <w:pPr>
        <w:pStyle w:val="Default"/>
        <w:spacing w:before="120" w:line="360" w:lineRule="auto"/>
        <w:rPr>
          <w:b/>
          <w:color w:val="auto"/>
          <w:sz w:val="20"/>
          <w:szCs w:val="20"/>
        </w:rPr>
      </w:pPr>
    </w:p>
    <w:p w:rsidR="0071426A" w:rsidRPr="004B5046" w:rsidRDefault="0071426A" w:rsidP="00AE48E5">
      <w:pPr>
        <w:pStyle w:val="Default"/>
        <w:spacing w:before="120" w:line="360" w:lineRule="auto"/>
        <w:rPr>
          <w:color w:val="auto"/>
          <w:sz w:val="20"/>
          <w:szCs w:val="20"/>
        </w:rPr>
      </w:pPr>
      <w:r w:rsidRPr="004B5046">
        <w:rPr>
          <w:b/>
          <w:color w:val="auto"/>
          <w:sz w:val="20"/>
          <w:szCs w:val="20"/>
        </w:rPr>
        <w:lastRenderedPageBreak/>
        <w:t>Tabella n. 2 – Riepilogo verifica del rispetto dei limiti di cui all’art. 9, comma 8, del decreto legge n. 78 del 2010</w:t>
      </w:r>
    </w:p>
    <w:p w:rsidR="0071426A" w:rsidRDefault="00CD1D1C" w:rsidP="0071426A">
      <w:pPr>
        <w:pStyle w:val="Default"/>
        <w:spacing w:before="120" w:line="360" w:lineRule="auto"/>
        <w:jc w:val="center"/>
        <w:rPr>
          <w:b/>
          <w:color w:val="auto"/>
          <w:sz w:val="22"/>
          <w:szCs w:val="22"/>
        </w:rPr>
      </w:pPr>
      <w:r>
        <w:rPr>
          <w:noProof/>
        </w:rPr>
        <w:drawing>
          <wp:inline distT="0" distB="0" distL="0" distR="0" wp14:anchorId="6BA7F679" wp14:editId="2587DB18">
            <wp:extent cx="5429250" cy="2162175"/>
            <wp:effectExtent l="0" t="0" r="0" b="9525"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29250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0F6B" w:rsidRDefault="007E0F6B" w:rsidP="0071426A">
      <w:pPr>
        <w:pStyle w:val="Default"/>
        <w:spacing w:before="120" w:line="360" w:lineRule="auto"/>
        <w:jc w:val="center"/>
        <w:rPr>
          <w:b/>
          <w:color w:val="auto"/>
          <w:sz w:val="22"/>
          <w:szCs w:val="22"/>
        </w:rPr>
      </w:pPr>
    </w:p>
    <w:p w:rsidR="007E0F6B" w:rsidRPr="004B5046" w:rsidRDefault="007E0F6B" w:rsidP="007E0F6B">
      <w:pPr>
        <w:pStyle w:val="Default"/>
        <w:spacing w:before="120" w:line="360" w:lineRule="auto"/>
        <w:jc w:val="both"/>
        <w:rPr>
          <w:color w:val="auto"/>
          <w:sz w:val="18"/>
          <w:szCs w:val="18"/>
        </w:rPr>
      </w:pPr>
    </w:p>
    <w:sectPr w:rsidR="007E0F6B" w:rsidRPr="004B5046" w:rsidSect="00871DE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EC3" w:rsidRDefault="006A1EC3" w:rsidP="00CE1685">
      <w:pPr>
        <w:spacing w:after="0" w:line="240" w:lineRule="auto"/>
      </w:pPr>
      <w:r>
        <w:separator/>
      </w:r>
    </w:p>
  </w:endnote>
  <w:endnote w:type="continuationSeparator" w:id="0">
    <w:p w:rsidR="006A1EC3" w:rsidRDefault="006A1EC3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0241471"/>
      <w:docPartObj>
        <w:docPartGallery w:val="Page Numbers (Bottom of Page)"/>
        <w:docPartUnique/>
      </w:docPartObj>
    </w:sdtPr>
    <w:sdtEndPr/>
    <w:sdtContent>
      <w:p w:rsidR="002E5FA6" w:rsidRDefault="002E5FA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942">
          <w:rPr>
            <w:noProof/>
          </w:rPr>
          <w:t>2</w:t>
        </w:r>
        <w:r>
          <w:fldChar w:fldCharType="end"/>
        </w:r>
      </w:p>
    </w:sdtContent>
  </w:sdt>
  <w:p w:rsidR="002E5FA6" w:rsidRDefault="002E5FA6" w:rsidP="002E5FA6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577575"/>
      <w:docPartObj>
        <w:docPartGallery w:val="Page Numbers (Bottom of Page)"/>
        <w:docPartUnique/>
      </w:docPartObj>
    </w:sdtPr>
    <w:sdtEndPr/>
    <w:sdtContent>
      <w:p w:rsidR="002E5FA6" w:rsidRDefault="002E5FA6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1942">
          <w:rPr>
            <w:noProof/>
          </w:rPr>
          <w:t>1</w:t>
        </w:r>
        <w:r>
          <w:fldChar w:fldCharType="end"/>
        </w:r>
      </w:p>
    </w:sdtContent>
  </w:sdt>
  <w:p w:rsidR="002E5FA6" w:rsidRDefault="002E5FA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EC3" w:rsidRDefault="006A1EC3" w:rsidP="00CE1685">
      <w:pPr>
        <w:spacing w:after="0" w:line="240" w:lineRule="auto"/>
      </w:pPr>
      <w:r>
        <w:separator/>
      </w:r>
    </w:p>
  </w:footnote>
  <w:footnote w:type="continuationSeparator" w:id="0">
    <w:p w:rsidR="006A1EC3" w:rsidRDefault="006A1EC3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671942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2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1053E220" wp14:editId="7D16A396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DE8" w:rsidRPr="00CE1685" w:rsidRDefault="00871DE8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9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6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2C69"/>
    <w:rsid w:val="00003C78"/>
    <w:rsid w:val="0001748E"/>
    <w:rsid w:val="0004002B"/>
    <w:rsid w:val="00044B98"/>
    <w:rsid w:val="00051F48"/>
    <w:rsid w:val="000552EC"/>
    <w:rsid w:val="00080542"/>
    <w:rsid w:val="000B5E94"/>
    <w:rsid w:val="000D5069"/>
    <w:rsid w:val="000E3D61"/>
    <w:rsid w:val="001064D3"/>
    <w:rsid w:val="00111696"/>
    <w:rsid w:val="00122D77"/>
    <w:rsid w:val="0014100D"/>
    <w:rsid w:val="00142DD8"/>
    <w:rsid w:val="00147B4B"/>
    <w:rsid w:val="00151337"/>
    <w:rsid w:val="00161C1B"/>
    <w:rsid w:val="0016317C"/>
    <w:rsid w:val="00194555"/>
    <w:rsid w:val="00194B3B"/>
    <w:rsid w:val="001A052C"/>
    <w:rsid w:val="001A3741"/>
    <w:rsid w:val="001A4F00"/>
    <w:rsid w:val="001F2E63"/>
    <w:rsid w:val="00214C18"/>
    <w:rsid w:val="00231AE2"/>
    <w:rsid w:val="00262B3B"/>
    <w:rsid w:val="00263E37"/>
    <w:rsid w:val="00277D49"/>
    <w:rsid w:val="00282236"/>
    <w:rsid w:val="00283339"/>
    <w:rsid w:val="0028355C"/>
    <w:rsid w:val="002843E4"/>
    <w:rsid w:val="002844A6"/>
    <w:rsid w:val="002D208E"/>
    <w:rsid w:val="002E5642"/>
    <w:rsid w:val="002E5FA6"/>
    <w:rsid w:val="003024D0"/>
    <w:rsid w:val="00307654"/>
    <w:rsid w:val="00340820"/>
    <w:rsid w:val="003453FD"/>
    <w:rsid w:val="00350AED"/>
    <w:rsid w:val="00354F55"/>
    <w:rsid w:val="003661FB"/>
    <w:rsid w:val="00390636"/>
    <w:rsid w:val="00392658"/>
    <w:rsid w:val="003B3608"/>
    <w:rsid w:val="00406AF9"/>
    <w:rsid w:val="00430E68"/>
    <w:rsid w:val="004367A7"/>
    <w:rsid w:val="0044060D"/>
    <w:rsid w:val="00442327"/>
    <w:rsid w:val="0045380A"/>
    <w:rsid w:val="00467B4B"/>
    <w:rsid w:val="004850B2"/>
    <w:rsid w:val="004A2E25"/>
    <w:rsid w:val="004B5046"/>
    <w:rsid w:val="005040DB"/>
    <w:rsid w:val="00532958"/>
    <w:rsid w:val="00571D05"/>
    <w:rsid w:val="00572191"/>
    <w:rsid w:val="00590317"/>
    <w:rsid w:val="005B0B5E"/>
    <w:rsid w:val="005C0364"/>
    <w:rsid w:val="005D49E7"/>
    <w:rsid w:val="005D582B"/>
    <w:rsid w:val="005D597C"/>
    <w:rsid w:val="005F15A1"/>
    <w:rsid w:val="00632F82"/>
    <w:rsid w:val="0063342B"/>
    <w:rsid w:val="006363A7"/>
    <w:rsid w:val="00641279"/>
    <w:rsid w:val="00644C28"/>
    <w:rsid w:val="00646953"/>
    <w:rsid w:val="0065145F"/>
    <w:rsid w:val="0065222F"/>
    <w:rsid w:val="00671942"/>
    <w:rsid w:val="00681C67"/>
    <w:rsid w:val="00696BCD"/>
    <w:rsid w:val="006A1EC3"/>
    <w:rsid w:val="006B13DD"/>
    <w:rsid w:val="006B3482"/>
    <w:rsid w:val="006C44E1"/>
    <w:rsid w:val="006C608A"/>
    <w:rsid w:val="006D5EC5"/>
    <w:rsid w:val="0071426A"/>
    <w:rsid w:val="00721FAF"/>
    <w:rsid w:val="00734C61"/>
    <w:rsid w:val="00743951"/>
    <w:rsid w:val="00747CF9"/>
    <w:rsid w:val="00792A52"/>
    <w:rsid w:val="007A442C"/>
    <w:rsid w:val="007B2B6E"/>
    <w:rsid w:val="007B497E"/>
    <w:rsid w:val="007E0F6B"/>
    <w:rsid w:val="00800F29"/>
    <w:rsid w:val="00803CC0"/>
    <w:rsid w:val="00805139"/>
    <w:rsid w:val="00805C31"/>
    <w:rsid w:val="00821685"/>
    <w:rsid w:val="00825B35"/>
    <w:rsid w:val="00830814"/>
    <w:rsid w:val="008328AE"/>
    <w:rsid w:val="0083439B"/>
    <w:rsid w:val="00837EBA"/>
    <w:rsid w:val="008430D0"/>
    <w:rsid w:val="00857B0E"/>
    <w:rsid w:val="008658CE"/>
    <w:rsid w:val="00867C26"/>
    <w:rsid w:val="00871DE8"/>
    <w:rsid w:val="00880707"/>
    <w:rsid w:val="00887774"/>
    <w:rsid w:val="008955C6"/>
    <w:rsid w:val="008C3399"/>
    <w:rsid w:val="008D1FA9"/>
    <w:rsid w:val="008D235D"/>
    <w:rsid w:val="008D37F8"/>
    <w:rsid w:val="008D4A47"/>
    <w:rsid w:val="008F5FFE"/>
    <w:rsid w:val="00907765"/>
    <w:rsid w:val="00910A58"/>
    <w:rsid w:val="009428A6"/>
    <w:rsid w:val="00950015"/>
    <w:rsid w:val="00956350"/>
    <w:rsid w:val="00962BFE"/>
    <w:rsid w:val="00964CAE"/>
    <w:rsid w:val="00994DC6"/>
    <w:rsid w:val="009B3F72"/>
    <w:rsid w:val="009D0903"/>
    <w:rsid w:val="009F7B62"/>
    <w:rsid w:val="00A05C7F"/>
    <w:rsid w:val="00A07E56"/>
    <w:rsid w:val="00A21839"/>
    <w:rsid w:val="00A353BE"/>
    <w:rsid w:val="00A57D1C"/>
    <w:rsid w:val="00A60BD3"/>
    <w:rsid w:val="00A749CA"/>
    <w:rsid w:val="00A93A7F"/>
    <w:rsid w:val="00A96245"/>
    <w:rsid w:val="00AA3AC4"/>
    <w:rsid w:val="00AB51BE"/>
    <w:rsid w:val="00AC4E47"/>
    <w:rsid w:val="00AD11EB"/>
    <w:rsid w:val="00AD4DEF"/>
    <w:rsid w:val="00AD77A3"/>
    <w:rsid w:val="00AE48E5"/>
    <w:rsid w:val="00B015DB"/>
    <w:rsid w:val="00B22CC0"/>
    <w:rsid w:val="00B34212"/>
    <w:rsid w:val="00B34389"/>
    <w:rsid w:val="00B50329"/>
    <w:rsid w:val="00B633F7"/>
    <w:rsid w:val="00B67B36"/>
    <w:rsid w:val="00B876C3"/>
    <w:rsid w:val="00BA5604"/>
    <w:rsid w:val="00C11812"/>
    <w:rsid w:val="00C1498B"/>
    <w:rsid w:val="00C21388"/>
    <w:rsid w:val="00C24362"/>
    <w:rsid w:val="00C52845"/>
    <w:rsid w:val="00C53015"/>
    <w:rsid w:val="00C62CA5"/>
    <w:rsid w:val="00C66C4B"/>
    <w:rsid w:val="00C77D04"/>
    <w:rsid w:val="00C9008B"/>
    <w:rsid w:val="00C91C53"/>
    <w:rsid w:val="00CB0ED8"/>
    <w:rsid w:val="00CB0F61"/>
    <w:rsid w:val="00CD1D1C"/>
    <w:rsid w:val="00CE1685"/>
    <w:rsid w:val="00CE3B6E"/>
    <w:rsid w:val="00CF5E52"/>
    <w:rsid w:val="00CF6705"/>
    <w:rsid w:val="00D15C9D"/>
    <w:rsid w:val="00D23A4A"/>
    <w:rsid w:val="00D4077D"/>
    <w:rsid w:val="00D509B6"/>
    <w:rsid w:val="00D56984"/>
    <w:rsid w:val="00D75224"/>
    <w:rsid w:val="00D83D2A"/>
    <w:rsid w:val="00DC64FF"/>
    <w:rsid w:val="00DD299A"/>
    <w:rsid w:val="00DF4649"/>
    <w:rsid w:val="00DF46CD"/>
    <w:rsid w:val="00E0383D"/>
    <w:rsid w:val="00E838FE"/>
    <w:rsid w:val="00ED121D"/>
    <w:rsid w:val="00ED290D"/>
    <w:rsid w:val="00EE1847"/>
    <w:rsid w:val="00EE7961"/>
    <w:rsid w:val="00F02F2E"/>
    <w:rsid w:val="00F16506"/>
    <w:rsid w:val="00F27CFB"/>
    <w:rsid w:val="00F53FD5"/>
    <w:rsid w:val="00F765B8"/>
    <w:rsid w:val="00FC5DEB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B2B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7B2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9394C-462B-4BF6-AA2E-2A221BB7C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33</cp:revision>
  <cp:lastPrinted>2020-01-09T14:11:00Z</cp:lastPrinted>
  <dcterms:created xsi:type="dcterms:W3CDTF">2020-01-10T11:15:00Z</dcterms:created>
  <dcterms:modified xsi:type="dcterms:W3CDTF">2024-09-17T07:32:00Z</dcterms:modified>
</cp:coreProperties>
</file>